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4 vom 15. Mai 2026</w:t>
      </w:r>
    </w:p>
    <w:p>
      <w:r>
        <w:t>FR Kantonsgericht, 2026-05-15, FR</w:t>
      </w:r>
    </w:p>
    <w:p>
      <w:r>
        <w:rPr>
          <w:b/>
        </w:rPr>
        <w:t xml:space="preserve">Quelle: </w:t>
      </w:r>
      <w:r>
        <w:t>https://mcp.opencaselaw.ch/entscheid/fr_gerichte_602 2026 4</w:t>
      </w:r>
    </w:p>
    <w:p>
      <w:r>
        <w:t>FR: FR_GERICHTE 602 2026 4 du 15 mai 2026</w:t>
      </w:r>
    </w:p>
    <w:p>
      <w:r>
        <w:t>IT: FR_GERICHTE 602 2026 4 del 15 maggio 2026</w:t>
      </w:r>
    </w:p>
    <w:p>
      <w:pPr>
        <w:pStyle w:val="Heading2"/>
      </w:pPr>
      <w:r>
        <w:t>Erwägungen</w:t>
      </w:r>
    </w:p>
    <w:p>
      <w:r>
        <w:rPr>
          <w:b/>
        </w:rPr>
        <w:t>E. 1</w:t>
      </w:r>
    </w:p>
    <w:p>
      <w:r>
        <w:t>Déposé dans le délai et les formes prescrits, le recours est recevable en vertu des art. 79 ss, 114 al. 1 let. c du code fribourgeois du 23 mai 1991 de procédure et de juridiction administrative (CPJA; RSF 150.1), ainsi que de l’art. 141 al. 1 de la loi fribourgeoise du 2 décembre 2008 sur l'aménagement du territoire et les constructions (LATeC; RSF 710.1). Propriétaire d’une parcelle directement voisine de celle concernée par le projet, la recourante est atteinte par la décision rejetant son opposition. Elle dispose dès lors d’un intérêt digne de protection à l’annulation ou à la modification de cette décision ainsi que de celle accordant le permis de construire au sens de l’art. 76 let. a CPJA. L’avance de frais ayant en outre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Elle peut en particulier sanctionner la violation du droit, y compris l'abus ou l'excès du pouvoir d’appréciation, de même qu’une constatation inexacte ou incomplète des faits pertinents. Aucune question d’opportunité ne se pose en l’espèce.</w:t>
      </w:r>
    </w:p>
    <w:p>
      <w:r>
        <w:rPr>
          <w:b/>
        </w:rPr>
        <w:t>E. 3.1</w:t>
      </w:r>
    </w:p>
    <w:p>
      <w:r>
        <w:t>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w:t>
      </w:r>
    </w:p>
    <w:p>
      <w:r>
        <w:t>Tribunal cantonal TC Page 6 de 10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w:t>
      </w:r>
    </w:p>
    <w:p>
      <w:r>
        <w:rPr>
          <w:b/>
        </w:rPr>
        <w:t>E. 4</w:t>
      </w:r>
    </w:p>
    <w:p>
      <w:r>
        <w:t>La recourante fait tout d’abord valoir que les plans mis à l’enquête mentionnent le mur de soutènement faisant l’objet de la procédure de rétablissement de l’état conforme au droit. Dès lors que ces plans ont été approuvés par la Lieutenante de Préfet, elle estime que cela reviendrait à légaliser implicitement l’existence de cet ouvrage, alors même que le Tribunal cantonal en a nié la conformité dans son précédent arrêt.</w:t>
      </w:r>
    </w:p>
    <w:p>
      <w:r>
        <w:rPr>
          <w:b/>
        </w:rPr>
        <w:t>E. 4.1</w:t>
      </w:r>
    </w:p>
    <w:p>
      <w:r>
        <w:t>En application de l’art. 89 al. 2 ReLATeC, la demande de permis doit contenir toutes les indications et tous les documents nécessaires à son examen, conformément aux directives édictées par la Direction. Selon l’art. 90 al. 1 ReLATeC, la commune procède à l’examen de la conformité formelle et matérielle de la demande; au besoin, elle requiert les compléments nécessaires. Les autorités appliquant le droit de la construction sont ainsi en droit d’exiger des dossiers complets et dépourvus d’ambiguïté; il incombe aux administrés de déposer des dossiers de mise à l’enquête complets (cf. arrêt TC FR 602 2020 121 du 13 janvier 2021 consid. 4.2). Déjà sous l’empire de l’ancien règlement d’exécution du 18 décembre 1984 (aReLATeC), en vigueur jusqu’au 31 décembre 2009, il était prévu que les éléments nouvellement construits soient indiqués en rouge sur les plans. Ce principe a été repris dans les directives édictées en application de l’art. 89 al. 2 ReLATeC (cf. Guide des constructions de février 2022, ch. 3.1.1; nouvelle construction en rouge [vif], construction existante en gris). Le Tribunal cantonal s’est au demeurant déjà prononcé sur cette question. Il a confirmé que les éléments nouveaux concernés par la demande doivent être signalés sur les plans par la couleur rouge, laquelle désigne les éléments soumis à autorisation. Ainsi, les sceaux de la préfecture relatifs à l’approbation des plans d’un permis – auxquels le constructeur doit strictement se conformer – ne peuvent autoriser que ce qui est indiqué en rouge (construction), respectivement en jaune (démolition). Il en découle qu’un élément figurant sur des plans, mais non représenté en rouge, ne fait pas partie de l’autorisation (cf. arrêts TC FR 602 2023 9 du 9 octobre 2023 consid. 3.2; 602 2020 38 du 16 juillet 2020 consid. 7). La Cour a en outre rappelé qu’il importe que la construction réalisée corresponde aux plans approuvés, notamment pour des raisons de sécurité du droit: une construction doit refléter</w:t>
      </w:r>
    </w:p>
    <w:p>
      <w:r>
        <w:t>Tribunal cantonal TC Page 7 de 10 fidèlement ce qui a été autorisé par le permis de construire (cf. arrêts TC FR 602 2022 14 du 5 avril 2022 consid. 4.1; 602 2014 12 du 6 mars 2015).</w:t>
      </w:r>
    </w:p>
    <w:p>
      <w:r>
        <w:rPr>
          <w:b/>
        </w:rPr>
        <w:t>E. 4.2</w:t>
      </w:r>
    </w:p>
    <w:p>
      <w:r>
        <w:t>En l’espèce, il ressort des plans versés au dossier, en particulier du plan de situation du</w:t>
      </w:r>
    </w:p>
    <w:p>
      <w:r>
        <w:rPr>
          <w:b/>
        </w:rPr>
        <w:t>E. 6</w:t>
      </w:r>
    </w:p>
    <w:p>
      <w:r>
        <w:t>Au surplus, la recourante ne formule aucun grief spécifique à l’encontre du projet en tant que tel ni à l'encontre des éléments devant être construits ou modifiés. Il n’y a dès lors pas lieu d’examiner ces aspects plus avant. Au demeurant, la Cour relève que l’ensemble des services consultés ont émis des préavis favorables, avec ou sans conditions. Il s’ensuit que le recours (602 2026 4), entièrement mal fondé, doit être rejeté et les décisions attaquées confirmées. La cause étant jugée au fond, la requête tendant à l’octroi de l’effet suspensif (602 2026 6) est sans objet et doit être rayée du rôle.</w:t>
      </w:r>
    </w:p>
    <w:p>
      <w:r>
        <w:rPr>
          <w:b/>
        </w:rPr>
        <w:t>E. 7.1</w:t>
      </w:r>
    </w:p>
    <w:p>
      <w:r>
        <w:t>La recourante, qui succombe, supporte les frais de la procédure (art. 131 CPJA). Ceux-ci sont arrêtés à CHF 2'500.-, conformément aux art. 1 et 2 du tarif fribourgeois du 17 décembre 1991 sur les frais de procédure et les indemnités en matière de juridiction administrative (Tarif JA; RSF 150.12). Ils sont compensés par l’avance de frais du même montant, versée le 14 janvier 2026.</w:t>
      </w:r>
    </w:p>
    <w:p>
      <w:r>
        <w:rPr>
          <w:b/>
        </w:rPr>
        <w:t>E. 7.2</w:t>
      </w:r>
    </w:p>
    <w:p>
      <w:r>
        <w:t>Le constructeur intimé, qui obtient gain de cause et a eu recours aux services d'un avocat, a droit à une indemnité de partie. Conformément à l’art. 8 al. 1 du Tarif JA, les honoraires alloués pour la représentation ou l’assistance d’une partie sont fixés entre CHF 200.- et CHF 10’000.-. Dans les affaires présentant une ampleur ou une complexité particulière, ce plafond peut être porté à CHF 40’000.-. La fixation des honoraires dus à titre de dépens s’effectue sur la base d’un tarif horaire de CHF 250.-. Quant aux débours nécessaires à la conduite de l’affaire, ils sont remboursés au prix coûtant (art. 9 al. 1 Tarif JA). Les photocopies effectuées par le mandataire sont indemnisées à raison de CHF 0.40 par copie isolée (art. 9 al. 2 Tarif JA). En l’occurrence, la liste de frais produite par le mandataire de l’intimé fait état de 18 heures et 5 minutes de travail, ce qui apparaît excessif au regard des prestations effectivement déployées, en particulier le dépôt d’une unique détermination de 15 pages. On relève notamment que la facturation d’une vacation au Tribunal cantonal pour le dépôt en main propre de cette écriture n’était pas nécessaire à la défense des intérêts de l’intimé, dès lors qu’un envoi recommandé suffisait. Compte tenu de la nature de la cause, qui ne présente pas de difficultés particulières tant sur le plan factuel que juridique et s’inscrit dans un cadre largement balisé par la jurisprudence, il se justifie de ramener le temps admissible à 12 heures de travail. Calculée au tarif horaire de CHF 250.-,</w:t>
      </w:r>
    </w:p>
    <w:p>
      <w:r>
        <w:t>Tribunal cantonal TC Page 10 de 10 l’indemnité s’élève ainsi à CHF 3’000.-. La facturation à forfait des débours n’est en revanche pas conforme aux exigences du Tarif JA. En l’absence de tout détail quant aux frais effectivement engagés, il se justifie de fixer ceux-ci à CHF 50.-, ce qui apparaît suffisant pour couvrir les débours usuels. À cela s’ajoute un supplément pour la TVA au taux de 8.1 % (calculé sur 3'050.-), soit CHF 247.05, de sorte que l’indemnité totale s’élève à CHF 3’297.05. Cette indemnité est mise à la charge de la recourante et sera versée directement au mandataire de l’intimé. La recourante, qui succombe, n’a pas droit à une indemnité de partie. la Cour arrête : I. Le recours (602 2026 4) est rejeté. II. La requête d'octroi de l'effet suspensif (602 2026 6) est rayée du rôle. III. Les frais de la procédure, fixés à CHF 2'500.-, sont mis à la charge de la recourante. Ils sont compensés par l’avance de frais du même montant déjà versée. IV. Un montant de CHF 3’297.05 (dont CHF 247.05 de TVA au taux de 8.1%) est alloué à l'intimé, à titre d'indemnité de partie, à verser à Me David Ecoffey. Il est mis à la charge de la recourante.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20 avril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